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AC6473">
        <w:rPr>
          <w:rFonts w:ascii="Century Gothic" w:hAnsi="Century Gothic"/>
          <w:sz w:val="22"/>
          <w:szCs w:val="22"/>
        </w:rPr>
        <w:t>March and 31 March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515"/>
        <w:gridCol w:w="2308"/>
        <w:gridCol w:w="2519"/>
      </w:tblGrid>
      <w:tr w:rsidR="00AC6473" w:rsidRPr="00AD2A7A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AC6473" w:rsidRPr="006834A8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2018/71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AC6473">
              <w:rPr>
                <w:rFonts w:ascii="Century Gothic" w:hAnsi="Century Gothic" w:cs="Arial"/>
                <w:sz w:val="22"/>
                <w:szCs w:val="22"/>
              </w:rPr>
              <w:t>Merilba</w:t>
            </w:r>
            <w:proofErr w:type="spellEnd"/>
            <w:r w:rsidRPr="00AC6473">
              <w:rPr>
                <w:rFonts w:ascii="Century Gothic" w:hAnsi="Century Gothic" w:cs="Arial"/>
                <w:sz w:val="22"/>
                <w:szCs w:val="22"/>
              </w:rPr>
              <w:t xml:space="preserve"> St Tomingley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45 &amp; 46 755110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Highway Service Centre</w:t>
            </w:r>
          </w:p>
        </w:tc>
      </w:tr>
      <w:tr w:rsidR="00AC6473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2019/14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Dandaloo St</w:t>
            </w:r>
          </w:p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Narromine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15/3572/2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Shade Cover</w:t>
            </w:r>
          </w:p>
        </w:tc>
      </w:tr>
      <w:tr w:rsidR="00AC6473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2019/15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Industry Ave Narromine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10/261177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Skillion</w:t>
            </w:r>
          </w:p>
        </w:tc>
      </w:tr>
      <w:tr w:rsidR="00AC6473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2019/16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Third Ave Narromine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3/7833/1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AC6473" w:rsidTr="002D0B91">
        <w:trPr>
          <w:trHeight w:val="213"/>
        </w:trPr>
        <w:tc>
          <w:tcPr>
            <w:tcW w:w="627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2019/18</w:t>
            </w:r>
          </w:p>
        </w:tc>
        <w:tc>
          <w:tcPr>
            <w:tcW w:w="943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Tomingley Rd Narromine</w:t>
            </w:r>
          </w:p>
        </w:tc>
        <w:tc>
          <w:tcPr>
            <w:tcW w:w="865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60/755131</w:t>
            </w:r>
          </w:p>
        </w:tc>
        <w:tc>
          <w:tcPr>
            <w:tcW w:w="944" w:type="pct"/>
          </w:tcPr>
          <w:p w:rsidR="00AC6473" w:rsidRPr="00AC6473" w:rsidRDefault="00AC6473" w:rsidP="002D0B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C6473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</w:tbl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AC6473">
        <w:rPr>
          <w:rFonts w:ascii="Century Gothic" w:hAnsi="Century Gothic"/>
          <w:sz w:val="22"/>
          <w:szCs w:val="22"/>
        </w:rPr>
        <w:t>11</w:t>
      </w:r>
      <w:bookmarkStart w:id="0" w:name="_GoBack"/>
      <w:bookmarkEnd w:id="0"/>
      <w:r w:rsidR="00DC57C3">
        <w:rPr>
          <w:rFonts w:ascii="Century Gothic" w:hAnsi="Century Gothic"/>
          <w:sz w:val="22"/>
          <w:szCs w:val="22"/>
        </w:rPr>
        <w:t xml:space="preserve"> April </w:t>
      </w:r>
      <w:r w:rsidR="0037763B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F1A49"/>
    <w:rsid w:val="00D07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2019-04-04T04:53:00Z</dcterms:created>
  <dcterms:modified xsi:type="dcterms:W3CDTF">2019-04-04T04:54:00Z</dcterms:modified>
</cp:coreProperties>
</file>